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E" w:rsidRPr="00E83E65" w:rsidRDefault="009F2E3E" w:rsidP="009F2E3E">
      <w:pPr>
        <w:rPr>
          <w:b/>
        </w:rPr>
      </w:pPr>
      <w:r w:rsidRPr="00E83E65">
        <w:rPr>
          <w:b/>
        </w:rPr>
        <w:t>采购清单</w:t>
      </w:r>
      <w:r>
        <w:rPr>
          <w:rFonts w:hint="eastAsia"/>
          <w:b/>
        </w:rPr>
        <w:t>及参数要求</w:t>
      </w:r>
      <w:r w:rsidRPr="00E83E65">
        <w:rPr>
          <w:rFonts w:hint="eastAsia"/>
          <w:b/>
        </w:rPr>
        <w:t>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4678"/>
      </w:tblGrid>
      <w:tr w:rsidR="009F2E3E" w:rsidRPr="00272158" w:rsidTr="00431CF7">
        <w:tc>
          <w:tcPr>
            <w:tcW w:w="6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品目</w:t>
            </w:r>
            <w:r w:rsidRPr="009D1CC5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数量</w:t>
            </w: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（台）</w:t>
            </w:r>
          </w:p>
        </w:tc>
        <w:tc>
          <w:tcPr>
            <w:tcW w:w="4678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技术参数</w:t>
            </w:r>
            <w:r w:rsidRPr="009D1CC5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要求</w:t>
            </w:r>
          </w:p>
        </w:tc>
      </w:tr>
      <w:tr w:rsidR="009F2E3E" w:rsidRPr="00272158" w:rsidTr="00431CF7">
        <w:trPr>
          <w:trHeight w:val="573"/>
        </w:trPr>
        <w:tc>
          <w:tcPr>
            <w:tcW w:w="6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/>
                <w:kern w:val="0"/>
                <w:szCs w:val="21"/>
              </w:rPr>
              <w:t>深层肌肉刺激仪</w:t>
            </w:r>
          </w:p>
        </w:tc>
        <w:tc>
          <w:tcPr>
            <w:tcW w:w="12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678" w:type="dxa"/>
          </w:tcPr>
          <w:p w:rsidR="009F2E3E" w:rsidRPr="00980C4D" w:rsidRDefault="009F2E3E" w:rsidP="00431CF7">
            <w:pPr>
              <w:pStyle w:val="msolistparagraph0"/>
              <w:widowControl/>
              <w:spacing w:before="156" w:line="240" w:lineRule="exact"/>
              <w:ind w:firstLineChars="0" w:firstLine="0"/>
              <w:rPr>
                <w:rFonts w:asciiTheme="minorEastAsia" w:eastAsiaTheme="minorEastAsia" w:hAnsiTheme="minorEastAsia" w:cs="微软雅黑"/>
                <w:sz w:val="22"/>
              </w:rPr>
            </w:pP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1.保证输出的稳定性；2.采用低压供电方式，保证使用过程中的安全性；3.为机械性冲击治疗设备，频率15-60Hz四档可调；4.输出频率改变时，设备的冲击力恒定不变，保证治疗的深度和疗效；5.多种治疗头可供选择，依据临床需求结合治疗部位和强度进行选择；6.治疗深度可达20-60mm，表层和深层组织均可治疗；7.25℃室温下，设备连续工作温度不操过41℃；8.治疗手柄配备橡胶皮套，便于抓握；9.电源输出线与主机连接牢固可靠，最大承受拉力不小于5kg。10.设备重量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约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为2.5kg，整体重心于机头部位，便于操作；11.尺寸：25.5*5*14cm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左右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；12.材质：高质量不锈钢和钛合金；13.治疗头尺寸：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约35mm。</w:t>
            </w:r>
          </w:p>
        </w:tc>
      </w:tr>
      <w:tr w:rsidR="009F2E3E" w:rsidRPr="00272158" w:rsidTr="00431CF7">
        <w:tc>
          <w:tcPr>
            <w:tcW w:w="6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/>
                <w:kern w:val="0"/>
                <w:szCs w:val="21"/>
              </w:rPr>
              <w:t>无线神经肌肉刺激仪</w:t>
            </w:r>
          </w:p>
        </w:tc>
        <w:tc>
          <w:tcPr>
            <w:tcW w:w="1275" w:type="dxa"/>
            <w:vAlign w:val="center"/>
          </w:tcPr>
          <w:p w:rsidR="009F2E3E" w:rsidRPr="009D1CC5" w:rsidRDefault="009F2E3E" w:rsidP="00431C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9D1CC5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:rsidR="009F2E3E" w:rsidRPr="00980C4D" w:rsidRDefault="009F2E3E" w:rsidP="00431CF7">
            <w:pPr>
              <w:pStyle w:val="1"/>
              <w:spacing w:before="156" w:line="240" w:lineRule="exact"/>
              <w:ind w:firstLineChars="0" w:firstLine="0"/>
              <w:rPr>
                <w:rFonts w:asciiTheme="minorEastAsia" w:eastAsiaTheme="minorEastAsia" w:hAnsiTheme="minorEastAsia" w:cs="微软雅黑"/>
                <w:sz w:val="22"/>
              </w:rPr>
            </w:pP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1.保证输出的稳定性；2.全彩色高清L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CD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显示屏；3.显示实施训练进程、可视化训练指导、可设定个性化训练目标；4.内置程序数量40个;5.功能包括：增肌塑形、按摩/回复、疼痛管理、伤后康复；6.电刺激频率：1-150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H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z可调，步进1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H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z；7.电刺激强度：1-999级，1000</w:t>
            </w:r>
            <w:proofErr w:type="gramStart"/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档</w:t>
            </w:r>
            <w:proofErr w:type="gramEnd"/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可调；8.电刺激通道数：4个;9.肌肉智能：包括M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I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-</w:t>
            </w:r>
            <w:proofErr w:type="spellStart"/>
            <w:r w:rsidRPr="00980C4D">
              <w:rPr>
                <w:rFonts w:asciiTheme="minorEastAsia" w:eastAsiaTheme="minorEastAsia" w:hAnsiTheme="minorEastAsia" w:cs="微软雅黑"/>
                <w:sz w:val="22"/>
              </w:rPr>
              <w:t>A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uto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R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ange</w:t>
            </w:r>
            <w:proofErr w:type="spellEnd"/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技术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 xml:space="preserve"> 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、M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I-T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ens技术、M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I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-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A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ction技术;10.可结合主动训练;11.欧盟C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E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安全认证、美国F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DA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认证、E</w:t>
            </w:r>
            <w:r w:rsidRPr="00980C4D">
              <w:rPr>
                <w:rFonts w:asciiTheme="minorEastAsia" w:eastAsiaTheme="minorEastAsia" w:hAnsiTheme="minorEastAsia" w:cs="微软雅黑"/>
                <w:sz w:val="22"/>
              </w:rPr>
              <w:t>MC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电磁兼容性认证;12.电池类型：内置保护电路可充电锂电池;13.电池续航时间不少于10小时;14.保修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不少于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3年;15.包装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及设备重约2</w:t>
            </w:r>
            <w:r w:rsidRPr="00980C4D">
              <w:rPr>
                <w:rFonts w:asciiTheme="minorEastAsia" w:eastAsiaTheme="minorEastAsia" w:hAnsiTheme="minorEastAsia" w:cs="微软雅黑" w:hint="eastAsia"/>
                <w:sz w:val="22"/>
              </w:rPr>
              <w:t>KG</w:t>
            </w:r>
            <w:r>
              <w:rPr>
                <w:rFonts w:asciiTheme="minorEastAsia" w:eastAsiaTheme="minorEastAsia" w:hAnsiTheme="minorEastAsia" w:cs="微软雅黑" w:hint="eastAsia"/>
                <w:sz w:val="22"/>
              </w:rPr>
              <w:t>。</w:t>
            </w:r>
          </w:p>
        </w:tc>
      </w:tr>
    </w:tbl>
    <w:p w:rsidR="009F2E3E" w:rsidRPr="00E83E65" w:rsidRDefault="009F2E3E" w:rsidP="009F2E3E"/>
    <w:p w:rsidR="00BE7829" w:rsidRPr="009F2E3E" w:rsidRDefault="00BE7829">
      <w:bookmarkStart w:id="0" w:name="_GoBack"/>
      <w:bookmarkEnd w:id="0"/>
    </w:p>
    <w:sectPr w:rsidR="00BE7829" w:rsidRPr="009F2E3E" w:rsidSect="006F207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3758"/>
      <w:docPartObj>
        <w:docPartGallery w:val="Page Numbers (Bottom of Page)"/>
        <w:docPartUnique/>
      </w:docPartObj>
    </w:sdtPr>
    <w:sdtEndPr/>
    <w:sdtContent>
      <w:p w:rsidR="00850A53" w:rsidRDefault="009F2E3E">
        <w:pPr>
          <w:pStyle w:val="a3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9F2E3E">
          <w:rPr>
            <w:noProof/>
            <w:lang w:val="zh-CN"/>
          </w:rPr>
          <w:t>1</w:t>
        </w:r>
        <w:r>
          <w:fldChar w:fldCharType="end"/>
        </w:r>
      </w:p>
    </w:sdtContent>
  </w:sdt>
  <w:p w:rsidR="00652109" w:rsidRDefault="009F2E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E"/>
    <w:rsid w:val="009F2E3E"/>
    <w:rsid w:val="00B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F2E3E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uiPriority w:val="99"/>
    <w:unhideWhenUsed/>
    <w:rsid w:val="009F2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2E3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F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9F2E3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F2E3E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uiPriority w:val="99"/>
    <w:unhideWhenUsed/>
    <w:rsid w:val="009F2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2E3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F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9F2E3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杨洁</cp:lastModifiedBy>
  <cp:revision>1</cp:revision>
  <dcterms:created xsi:type="dcterms:W3CDTF">2020-09-18T08:09:00Z</dcterms:created>
  <dcterms:modified xsi:type="dcterms:W3CDTF">2020-09-18T08:10:00Z</dcterms:modified>
</cp:coreProperties>
</file>